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31910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d415904e-d713-4c0f-85b9-f0fc7da9f072" w:id="1"/>
      <w:r>
        <w:rPr>
          <w:rFonts w:ascii="Times New Roman" w:hAnsi="Times New Roman"/>
          <w:b/>
          <w:i w:val="false"/>
          <w:color w:val="000000"/>
          <w:sz w:val="28"/>
        </w:rPr>
        <w:t>Министерство образования и науки Чеченской Республики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459302c-2135-426b-9eef-71fb8dcd979a" w:id="2"/>
      <w:r>
        <w:rPr>
          <w:rFonts w:ascii="Times New Roman" w:hAnsi="Times New Roman"/>
          <w:b/>
          <w:i w:val="false"/>
          <w:color w:val="000000"/>
          <w:sz w:val="28"/>
        </w:rPr>
        <w:t>МУ "Отдел образования Шалинского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–инт. №10 с. Новые-Атаги»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1025885)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8df893d-8e48-4a6c-b707-e30db5572816" w:id="3"/>
      <w:r>
        <w:rPr>
          <w:rFonts w:ascii="Times New Roman" w:hAnsi="Times New Roman"/>
          <w:b/>
          <w:i w:val="false"/>
          <w:color w:val="000000"/>
          <w:sz w:val="28"/>
        </w:rPr>
        <w:t>Новые Атаги</w:t>
      </w:r>
      <w:bookmarkEnd w:id="3"/>
      <w:r>
        <w:rPr>
          <w:rFonts w:ascii="Times New Roman" w:hAnsi="Times New Roman"/>
          <w:b/>
          <w:i w:val="false"/>
          <w:color w:val="000000"/>
          <w:sz w:val="28"/>
        </w:rPr>
        <w:t xml:space="preserve">‌ </w:t>
      </w:r>
      <w:bookmarkStart w:name="d0353ffa-3b9d-4f1b-95cd-292ab35e49b4"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7319102" w:id="5"/>
    <w:p>
      <w:pPr>
        <w:sectPr>
          <w:pgSz w:w="11906" w:h="16383" w:orient="portrait"/>
        </w:sectPr>
      </w:pPr>
    </w:p>
    <w:bookmarkEnd w:id="5"/>
    <w:bookmarkEnd w:id="0"/>
    <w:bookmarkStart w:name="block-7319103" w:id="6"/>
    <w:p>
      <w:pPr>
        <w:spacing w:before="0" w:after="0" w:line="276"/>
        <w:ind w:firstLine="600"/>
        <w:jc w:val="left"/>
      </w:pPr>
      <w:bookmarkStart w:name="_Toc118729915" w:id="7"/>
      <w:bookmarkEnd w:id="7"/>
      <w:r>
        <w:rPr>
          <w:rFonts w:ascii="Times New Roman" w:hAnsi="Times New Roman"/>
          <w:b/>
          <w:i w:val="false"/>
          <w:color w:val="000000"/>
          <w:sz w:val="28"/>
        </w:rPr>
        <w:t>ПОЯСНИТЕЛЬНАЯ ЗАПИСКА</w:t>
      </w:r>
    </w:p>
    <w:p>
      <w:pPr>
        <w:spacing w:before="0" w:after="0" w:line="276"/>
        <w:ind w:firstLine="600"/>
        <w:jc w:val="both"/>
      </w:pPr>
      <w:r>
        <w:rPr>
          <w:rFonts w:ascii="Times New Roman" w:hAnsi="Times New Roman"/>
          <w:b w:val="false"/>
          <w:i w:val="false"/>
          <w:color w:val="000000"/>
          <w:sz w:val="28"/>
        </w:rPr>
        <w:t>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 (ФОП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spacing w:before="0" w:after="0" w:line="264"/>
        <w:ind w:firstLine="600"/>
        <w:jc w:val="both"/>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spacing w:before="0" w:after="0" w:line="264"/>
        <w:ind w:firstLine="600"/>
        <w:jc w:val="both"/>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spacing w:before="0" w:after="0" w:line="264"/>
        <w:ind w:firstLine="600"/>
        <w:jc w:val="both"/>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spacing w:before="0" w:after="0" w:line="264"/>
        <w:ind w:firstLine="600"/>
        <w:jc w:val="both"/>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spacing w:before="0" w:after="0" w:line="264"/>
        <w:ind w:firstLine="600"/>
        <w:jc w:val="both"/>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spacing w:before="0" w:after="0" w:line="264"/>
        <w:ind w:firstLine="600"/>
        <w:jc w:val="both"/>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spacing w:before="0" w:after="0" w:line="264"/>
        <w:ind w:firstLine="600"/>
        <w:jc w:val="both"/>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spacing w:before="0" w:after="0" w:line="264"/>
        <w:ind w:firstLine="600"/>
        <w:jc w:val="both"/>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spacing w:before="0" w:after="0" w:line="264"/>
        <w:ind w:firstLine="600"/>
        <w:jc w:val="both"/>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spacing w:before="0" w:after="0" w:line="264"/>
        <w:ind w:firstLine="600"/>
        <w:jc w:val="both"/>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spacing w:before="0" w:after="0" w:line="264"/>
        <w:ind w:firstLine="600"/>
        <w:jc w:val="both"/>
      </w:pPr>
      <w:r>
        <w:rPr>
          <w:rFonts w:ascii="Times New Roman" w:hAnsi="Times New Roman"/>
          <w:b w:val="false"/>
          <w:i w:val="false"/>
          <w:color w:val="000000"/>
          <w:sz w:val="28"/>
        </w:rPr>
        <w:t xml:space="preserve">Согласно данной точке зрения главными целями изучения предмета «Химия» на базовом уровне (10 </w:t>
      </w:r>
      <w:r>
        <w:rPr>
          <w:rFonts w:ascii="Calibri" w:hAnsi="Calibri"/>
          <w:b w:val="false"/>
          <w:i w:val="false"/>
          <w:color w:val="000000"/>
          <w:sz w:val="28"/>
        </w:rPr>
        <w:t>–</w:t>
      </w:r>
      <w:r>
        <w:rPr>
          <w:rFonts w:ascii="Times New Roman" w:hAnsi="Times New Roman"/>
          <w:b w:val="false"/>
          <w:i w:val="false"/>
          <w:color w:val="000000"/>
          <w:sz w:val="28"/>
        </w:rPr>
        <w:t>11 кл.) являются:</w:t>
      </w:r>
    </w:p>
    <w:p>
      <w:pPr>
        <w:numPr>
          <w:ilvl w:val="0"/>
          <w:numId w:val="1"/>
        </w:numPr>
        <w:spacing w:before="0" w:after="0" w:line="264"/>
        <w:jc w:val="both"/>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numPr>
          <w:ilvl w:val="0"/>
          <w:numId w:val="1"/>
        </w:numPr>
        <w:spacing w:before="0" w:after="0" w:line="264"/>
        <w:jc w:val="both"/>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numPr>
          <w:ilvl w:val="0"/>
          <w:numId w:val="1"/>
        </w:numPr>
        <w:spacing w:before="0" w:after="0" w:line="264"/>
        <w:jc w:val="both"/>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spacing w:before="0" w:after="0" w:line="264"/>
        <w:ind w:firstLine="600"/>
        <w:jc w:val="both"/>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spacing w:before="0" w:after="0" w:line="264"/>
        <w:ind w:firstLine="600"/>
        <w:jc w:val="both"/>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spacing w:before="0" w:after="0" w:line="264"/>
        <w:ind w:firstLine="600"/>
        <w:jc w:val="both"/>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spacing w:before="0" w:after="0" w:line="264"/>
        <w:ind w:firstLine="600"/>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spacing w:before="0" w:after="0" w:line="264"/>
        <w:ind w:firstLine="600"/>
        <w:jc w:val="both"/>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spacing w:before="0" w:after="0" w:line="264"/>
        <w:ind w:firstLine="600"/>
        <w:jc w:val="both"/>
      </w:pPr>
      <w:r>
        <w:rPr>
          <w:rFonts w:ascii="Times New Roman" w:hAnsi="Times New Roman"/>
          <w:b w:val="false"/>
          <w:i w:val="false"/>
          <w:color w:val="000000"/>
          <w:sz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w:t>
      </w:r>
      <w:r>
        <w:rPr>
          <w:rFonts w:ascii="Times New Roman" w:hAnsi="Times New Roman"/>
          <w:b w:val="false"/>
          <w:i w:val="false"/>
          <w:color w:val="000000"/>
          <w:sz w:val="28"/>
        </w:rPr>
        <w:t>химическими явлениями.</w:t>
      </w:r>
    </w:p>
    <w:p>
      <w:pPr>
        <w:spacing w:before="0" w:after="0" w:line="264"/>
        <w:ind w:firstLine="600"/>
        <w:jc w:val="both"/>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pacing w:before="0" w:after="0" w:line="264"/>
        <w:ind w:firstLine="600"/>
        <w:jc w:val="both"/>
      </w:pPr>
      <w:r>
        <w:rPr>
          <w:rFonts w:ascii="Times New Roman" w:hAnsi="Times New Roman"/>
          <w:b w:val="false"/>
          <w:i w:val="false"/>
          <w:color w:val="000000"/>
          <w:sz w:val="28"/>
        </w:rPr>
        <w:t xml:space="preserve">Общее число часов, отведённых для изучения химии, на базовом уровне среднего общего образования, составляет </w:t>
      </w:r>
      <w:r>
        <w:rPr>
          <w:rFonts w:ascii="Times New Roman" w:hAnsi="Times New Roman"/>
          <w:b w:val="false"/>
          <w:i w:val="false"/>
          <w:color w:val="000000"/>
          <w:sz w:val="28"/>
        </w:rPr>
        <w:t>68 часов: в 10 классе – 34 часа (1 час в неделю), в 11 классе – 34 часа (1 час в неделю).</w:t>
      </w:r>
    </w:p>
    <w:bookmarkStart w:name="block-7319103" w:id="8"/>
    <w:p>
      <w:pPr>
        <w:sectPr>
          <w:pgSz w:w="11906" w:h="16383" w:orient="portrait"/>
        </w:sectPr>
      </w:pPr>
    </w:p>
    <w:bookmarkEnd w:id="8"/>
    <w:bookmarkEnd w:id="6"/>
    <w:bookmarkStart w:name="block-7319104"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spacing w:before="0" w:after="0" w:line="264"/>
        <w:ind w:firstLine="600"/>
        <w:jc w:val="both"/>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spacing w:before="0" w:after="0" w:line="264"/>
        <w:ind w:firstLine="600"/>
        <w:jc w:val="both"/>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spacing w:before="0" w:after="0" w:line="264"/>
        <w:ind w:firstLine="600"/>
        <w:jc w:val="both"/>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spacing w:before="0" w:after="0" w:line="264"/>
        <w:ind w:firstLine="600"/>
        <w:jc w:val="both"/>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spacing w:before="0" w:after="0" w:line="264"/>
        <w:ind w:firstLine="600"/>
        <w:jc w:val="both"/>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spacing w:before="0" w:after="0" w:line="264"/>
        <w:ind w:firstLine="600"/>
        <w:jc w:val="both"/>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spacing w:before="0" w:after="0" w:line="264"/>
        <w:ind w:firstLine="600"/>
        <w:jc w:val="both"/>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spacing w:before="0" w:after="0" w:line="264"/>
        <w:ind w:firstLine="600"/>
        <w:jc w:val="both"/>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spacing w:before="0" w:after="0" w:line="264"/>
        <w:ind w:firstLine="600"/>
        <w:jc w:val="both"/>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spacing w:before="0" w:after="0" w:line="264"/>
        <w:ind w:firstLine="600"/>
        <w:jc w:val="both"/>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spacing w:before="0" w:after="0" w:line="264"/>
        <w:ind w:firstLine="600"/>
        <w:jc w:val="both"/>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spacing w:before="0" w:after="0" w:line="264"/>
        <w:ind w:firstLine="600"/>
        <w:jc w:val="both"/>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spacing w:before="0" w:after="0" w:line="264"/>
        <w:ind w:firstLine="600"/>
        <w:jc w:val="both"/>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наблюдение и описание демонстрационных опытов: денатурация белков при нагревании, цветные реакции белков.</w:t>
      </w:r>
    </w:p>
    <w:p>
      <w:pPr>
        <w:spacing w:before="0" w:after="0" w:line="264"/>
        <w:ind w:firstLine="600"/>
        <w:jc w:val="both"/>
      </w:pPr>
      <w:r>
        <w:rPr>
          <w:rFonts w:ascii="Times New Roman" w:hAnsi="Times New Roman"/>
          <w:b/>
          <w:i w:val="false"/>
          <w:color w:val="000000"/>
          <w:sz w:val="28"/>
        </w:rPr>
        <w:t>Высокомолекулярные соединения</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природных и искусственных волокон, пластмасс, каучуков.</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spacing w:before="0" w:after="0" w:line="264"/>
        <w:ind w:firstLine="600"/>
        <w:jc w:val="both"/>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11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И НЕОРГАНИЧЕСКАЯ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spacing w:before="0" w:after="0" w:line="264"/>
        <w:ind w:firstLine="600"/>
        <w:jc w:val="both"/>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spacing w:before="0" w:after="0" w:line="264"/>
        <w:ind w:firstLine="600"/>
        <w:jc w:val="both"/>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spacing w:before="0" w:after="0" w:line="264"/>
        <w:ind w:firstLine="600"/>
        <w:jc w:val="both"/>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spacing w:before="0" w:after="0" w:line="264"/>
        <w:ind w:firstLine="600"/>
        <w:jc w:val="both"/>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spacing w:before="0" w:after="0" w:line="264"/>
        <w:ind w:firstLine="600"/>
        <w:jc w:val="both"/>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spacing w:before="0" w:after="0" w:line="264"/>
        <w:ind w:firstLine="600"/>
        <w:jc w:val="both"/>
      </w:pPr>
      <w:r>
        <w:rPr>
          <w:rFonts w:ascii="Times New Roman" w:hAnsi="Times New Roman"/>
          <w:b w:val="false"/>
          <w:i w:val="false"/>
          <w:color w:val="000000"/>
          <w:sz w:val="28"/>
        </w:rPr>
        <w:t xml:space="preserve">Окислительно-восстановительные реакции.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spacing w:before="0" w:after="0" w:line="264"/>
        <w:ind w:firstLine="600"/>
        <w:jc w:val="both"/>
      </w:pPr>
      <w:r>
        <w:rPr>
          <w:rFonts w:ascii="Times New Roman" w:hAnsi="Times New Roman"/>
          <w:b w:val="false"/>
          <w:i w:val="false"/>
          <w:color w:val="000000"/>
          <w:sz w:val="28"/>
        </w:rPr>
        <w:t>Применение важнейших неметаллов и их соединений.</w:t>
      </w:r>
    </w:p>
    <w:p>
      <w:pPr>
        <w:spacing w:before="0" w:after="0" w:line="264"/>
        <w:ind w:firstLine="600"/>
        <w:jc w:val="both"/>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spacing w:before="0" w:after="0" w:line="264"/>
        <w:ind w:firstLine="600"/>
        <w:jc w:val="both"/>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spacing w:before="0" w:after="0" w:line="264"/>
        <w:ind w:firstLine="600"/>
        <w:jc w:val="both"/>
      </w:pPr>
      <w:r>
        <w:rPr>
          <w:rFonts w:ascii="Times New Roman" w:hAnsi="Times New Roman"/>
          <w:b w:val="false"/>
          <w:i w:val="false"/>
          <w:color w:val="000000"/>
          <w:sz w:val="28"/>
        </w:rPr>
        <w:t>Общие способы получения металлов. Применение металлов в быту и технике.</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spacing w:before="0" w:after="0" w:line="264"/>
        <w:ind w:firstLine="600"/>
        <w:jc w:val="both"/>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pacing w:before="0" w:after="0" w:line="264"/>
        <w:ind w:left="120"/>
        <w:jc w:val="both"/>
      </w:pPr>
    </w:p>
    <w:bookmarkStart w:name="block-7319104" w:id="10"/>
    <w:p>
      <w:pPr>
        <w:sectPr>
          <w:pgSz w:w="11906" w:h="16383" w:orient="portrait"/>
        </w:sectPr>
      </w:pPr>
    </w:p>
    <w:bookmarkEnd w:id="10"/>
    <w:bookmarkEnd w:id="9"/>
    <w:bookmarkStart w:name="block-7319105"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spacing w:before="0" w:after="0" w:line="264"/>
        <w:ind w:firstLine="600"/>
        <w:jc w:val="both"/>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spacing w:before="0" w:after="0" w:line="264"/>
        <w:ind w:firstLine="600"/>
        <w:jc w:val="both"/>
      </w:pPr>
      <w:r>
        <w:rPr>
          <w:rFonts w:ascii="Times New Roman" w:hAnsi="Times New Roman"/>
          <w:b w:val="false"/>
          <w:i w:val="false"/>
          <w:color w:val="000000"/>
          <w:sz w:val="28"/>
        </w:rPr>
        <w:t xml:space="preserve">наличие мотивации к обучению; </w:t>
      </w:r>
    </w:p>
    <w:p>
      <w:pPr>
        <w:spacing w:before="0" w:after="0" w:line="264"/>
        <w:ind w:firstLine="600"/>
        <w:jc w:val="both"/>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spacing w:before="0" w:after="0" w:line="264"/>
        <w:ind w:firstLine="600"/>
        <w:jc w:val="both"/>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spacing w:before="0" w:after="0" w:line="264"/>
        <w:ind w:firstLine="600"/>
        <w:jc w:val="both"/>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w:t>
      </w:r>
      <w:r>
        <w:rPr>
          <w:rFonts w:ascii="Times New Roman" w:hAnsi="Times New Roman"/>
          <w:b w:val="false"/>
          <w:i w:val="false"/>
          <w:color w:val="000000"/>
          <w:sz w:val="28"/>
        </w:rPr>
        <w:t>,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line="264"/>
        <w:ind w:firstLine="600"/>
        <w:jc w:val="both"/>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spacing w:before="0" w:after="0" w:line="264"/>
        <w:ind w:firstLine="600"/>
        <w:jc w:val="both"/>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spacing w:before="0" w:after="0" w:line="264"/>
        <w:ind w:firstLine="600"/>
        <w:jc w:val="both"/>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spacing w:before="0" w:after="0" w:line="264"/>
        <w:ind w:firstLine="600"/>
        <w:jc w:val="both"/>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spacing w:before="0" w:after="0" w:line="264"/>
        <w:ind w:firstLine="600"/>
        <w:jc w:val="both"/>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spacing w:before="0" w:after="0" w:line="264"/>
        <w:ind w:firstLine="600"/>
        <w:jc w:val="both"/>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spacing w:before="0" w:after="0" w:line="264"/>
        <w:ind w:firstLine="600"/>
        <w:jc w:val="both"/>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spacing w:before="0" w:after="0" w:line="264"/>
        <w:ind w:firstLine="600"/>
        <w:jc w:val="both"/>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spacing w:before="0" w:after="0" w:line="264"/>
        <w:ind w:firstLine="600"/>
        <w:jc w:val="both"/>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spacing w:before="0" w:after="0" w:line="264"/>
        <w:ind w:firstLine="600"/>
        <w:jc w:val="both"/>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spacing w:before="0" w:after="0" w:line="264"/>
        <w:ind w:firstLine="600"/>
        <w:jc w:val="both"/>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bookmarkStart w:name="block-7319105" w:id="12"/>
    <w:p>
      <w:pPr>
        <w:sectPr>
          <w:pgSz w:w="11906" w:h="16383" w:orient="portrait"/>
        </w:sectPr>
      </w:pPr>
    </w:p>
    <w:bookmarkEnd w:id="12"/>
    <w:bookmarkEnd w:id="11"/>
    <w:bookmarkStart w:name="block-7319106"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138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Карбоновые кислоты. Сложные эфиры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Каучуки. Волокна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44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11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неорганических и органических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жизнь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jc w:val="left"/>
            </w:pPr>
          </w:p>
        </w:tc>
      </w:tr>
    </w:tbl>
    <w:p>
      <w:pPr>
        <w:sectPr>
          <w:pgSz w:w="16383" w:h="11906" w:orient="landscape"/>
        </w:sectPr>
      </w:pPr>
    </w:p>
    <w:bookmarkStart w:name="block-7319106" w:id="14"/>
    <w:p>
      <w:pPr>
        <w:sectPr>
          <w:pgSz w:w="16383" w:h="11906" w:orient="landscape"/>
        </w:sectPr>
      </w:pPr>
    </w:p>
    <w:bookmarkEnd w:id="14"/>
    <w:bookmarkEnd w:id="13"/>
    <w:bookmarkStart w:name="block-7319107"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её возникновение, развитие и значение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 её основные положения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состав и строение, гомологический 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 и этан — простейшие представители алканов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состав и строение, свойства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5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Этилен и пропилен — простейшие представители алкенов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«Получение этилена и изучение его свойств»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Бутадиен-1,3 и метилбутадиен-1,3. Получение синтетического каучука и резины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состав и особенности строения, гомологический ряд. Ацетилен — простейший представитель алкинов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уравнению химической реакции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бензол и толуол. Токсичность аренов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принадлежащих к различным классам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«Углеводороды»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метанол и этанол. Водородная связь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и химические свойства, применение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формальдегид и ацетальдегид. Ацетон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муравьиная и уксусная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«Свойства раствора уксусной кислоты»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Стеариновая и олеиновая кислоты, как представители высших карбоновых кислот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Мыла как соли высших карбоновых кислот, их моющее действие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как производные карбоновых кислот. Гидролиз сложных эфиров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Жиры: гидролиз, применение, биологическая роль жиров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состав, классификация. Важнейшие представители: глюкоза, фруктоза, сахароза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Крахмал и целлюлоза как природные полимеры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«Кислородсодержащие органические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метиламин и анилин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7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как амфотерные органические соединения, их биологическое значение. Пептиды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высокомолекулярные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методы синтеза высокомолекулярных соединений. Пластмассы, каучуки, волокна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54"/>
        <w:gridCol w:w="3760"/>
        <w:gridCol w:w="1038"/>
        <w:gridCol w:w="2012"/>
        <w:gridCol w:w="2165"/>
        <w:gridCol w:w="1513"/>
        <w:gridCol w:w="2652"/>
      </w:tblGrid>
      <w:tr>
        <w:trPr>
          <w:trHeight w:val="300" w:hRule="atLeast"/>
          <w:trHeight w:val="144" w:hRule="atLeast"/>
        </w:trPr>
        <w:tc>
          <w:tcPr>
            <w:tcW w:w="3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1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элемент. Атом. Электронная конфигурация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80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44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реакции. Обратимые реакции. Химическое равновесие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«Влияние различных факторов на скорость химической реакции»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«Теоретические основы химии»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Электрохимический ряд напряжений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хрома, меди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цинка, железа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"Решение экспериментальных задач по теме «Металлы»"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галогенов, серы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азота, фософра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углерода, кремния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важнейших неметаллов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«Решение экспериментальных задач по теме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«Металлы» и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Неорганические и органические кислоты. Неорганические и органические основания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мире веществ и материалов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здоровье человека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319107" w:id="16"/>
    <w:p>
      <w:pPr>
        <w:sectPr>
          <w:pgSz w:w="16383" w:h="11906" w:orient="landscape"/>
        </w:sectPr>
      </w:pPr>
    </w:p>
    <w:bookmarkEnd w:id="16"/>
    <w:bookmarkEnd w:id="15"/>
    <w:bookmarkStart w:name="block-7319108"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cbcdb3f8-8975-45f3-8500-7cf831c9e7c1" w:id="18"/>
      <w:r>
        <w:rPr>
          <w:rFonts w:ascii="Times New Roman" w:hAnsi="Times New Roman"/>
          <w:b w:val="false"/>
          <w:i w:val="false"/>
          <w:color w:val="000000"/>
          <w:sz w:val="28"/>
        </w:rPr>
        <w:t>• Химия, 10 класс/ Нифантьев Э.Е., Оржековский П.А., Общество с ограниченной ответственностью «ИОЦ МНЕМОЗИНА»</w:t>
      </w:r>
      <w:bookmarkEnd w:id="18"/>
      <w:r>
        <w:rPr>
          <w:sz w:val="28"/>
        </w:rPr>
        <w:br/>
      </w:r>
      <w:bookmarkStart w:name="cbcdb3f8-8975-45f3-8500-7cf831c9e7c1" w:id="19"/>
      <w:r>
        <w:rPr>
          <w:rFonts w:ascii="Times New Roman" w:hAnsi="Times New Roman"/>
          <w:b w:val="false"/>
          <w:i w:val="false"/>
          <w:color w:val="000000"/>
          <w:sz w:val="28"/>
        </w:rPr>
        <w:t xml:space="preserve"> • Химия, 10 класс/ Рудзитис Г.Е., Фельдман Ф.Г., Акционерное общество «Издательство «Просвещение»</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4ae8c924-a53d-4ec6-ab2c-df94aa71f8b5" w:id="20"/>
      <w:r>
        <w:rPr>
          <w:rFonts w:ascii="Times New Roman" w:hAnsi="Times New Roman"/>
          <w:b w:val="false"/>
          <w:i w:val="false"/>
          <w:color w:val="000000"/>
          <w:sz w:val="28"/>
        </w:rPr>
        <w:t>ЦОК</w:t>
      </w:r>
      <w:bookmarkEnd w:id="20"/>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7319108" w:id="21"/>
    <w:p>
      <w:pPr>
        <w:sectPr>
          <w:pgSz w:w="11906" w:h="16383" w:orient="portrait"/>
        </w:sectPr>
      </w:pPr>
    </w:p>
    <w:bookmarkEnd w:id="21"/>
    <w:bookmarkEnd w:id="17"/>
    <w:sectPr>
      <w:pgSz w:w="11907" w:h="16839" w:code="9"/>
      <w:pgMar w:top="1440" w:right="1440" w:bottom="1440" w:left="1440"/>
    </w:sectPr>
  </w:body>
</w:document>
</file>

<file path=word/numbering.xml><?xml version="1.0" encoding="utf-8"?>
<w:numbering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